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437465" w14:textId="77777777" w:rsidR="006A26D7" w:rsidRDefault="00FB0754">
      <w:pPr>
        <w:jc w:val="both"/>
      </w:pPr>
      <w:r>
        <w:rPr>
          <w:rStyle w:val="Heading1Char"/>
          <w:rFonts w:eastAsia="Calibri"/>
        </w:rPr>
        <w:t>THE USE OF THE SIMPLIFIED IALA RISK ASSESSMENT METHOD (SIRA)</w:t>
      </w:r>
    </w:p>
    <w:p w14:paraId="71437466" w14:textId="77777777" w:rsidR="006A26D7" w:rsidRDefault="006A26D7">
      <w:pPr>
        <w:jc w:val="both"/>
      </w:pPr>
    </w:p>
    <w:p w14:paraId="71437467" w14:textId="77777777" w:rsidR="006A26D7" w:rsidRDefault="006A26D7">
      <w:pPr>
        <w:jc w:val="both"/>
        <w:rPr>
          <w:rFonts w:ascii="Tw Cen MT" w:hAnsi="Tw Cen MT"/>
          <w:sz w:val="24"/>
          <w:szCs w:val="24"/>
        </w:rPr>
      </w:pPr>
    </w:p>
    <w:p w14:paraId="71437468" w14:textId="77777777" w:rsidR="006A26D7" w:rsidRDefault="00FB0754">
      <w:pPr>
        <w:jc w:val="both"/>
        <w:rPr>
          <w:rFonts w:ascii="Tw Cen MT" w:hAnsi="Tw Cen MT"/>
          <w:sz w:val="24"/>
          <w:szCs w:val="24"/>
        </w:rPr>
      </w:pPr>
      <w:r>
        <w:rPr>
          <w:rFonts w:ascii="Tw Cen MT" w:hAnsi="Tw Cen MT"/>
          <w:sz w:val="24"/>
          <w:szCs w:val="24"/>
        </w:rPr>
        <w:t xml:space="preserve"> AIM – Formal and Structured Risk Management System</w:t>
      </w:r>
      <w:bookmarkStart w:id="0" w:name="_GoBack"/>
      <w:bookmarkEnd w:id="0"/>
    </w:p>
    <w:p w14:paraId="71437469" w14:textId="77777777" w:rsidR="006A26D7" w:rsidRDefault="006A26D7">
      <w:pPr>
        <w:jc w:val="both"/>
        <w:rPr>
          <w:rFonts w:ascii="Tw Cen MT" w:hAnsi="Tw Cen MT"/>
          <w:sz w:val="24"/>
          <w:szCs w:val="24"/>
        </w:rPr>
      </w:pPr>
    </w:p>
    <w:p w14:paraId="7143746A" w14:textId="77777777" w:rsidR="006A26D7" w:rsidRDefault="00FB0754">
      <w:pPr>
        <w:jc w:val="both"/>
        <w:rPr>
          <w:rFonts w:ascii="Tw Cen MT" w:hAnsi="Tw Cen MT"/>
          <w:sz w:val="24"/>
          <w:szCs w:val="24"/>
        </w:rPr>
      </w:pPr>
      <w:r>
        <w:rPr>
          <w:rFonts w:ascii="Tw Cen MT" w:hAnsi="Tw Cen MT"/>
          <w:sz w:val="24"/>
          <w:szCs w:val="24"/>
        </w:rPr>
        <w:t>Structured risk assessment methodology based on IMO Formal Safety Assessment Methodology for Simple Risk Assessment and Advanced Risk Assessment for inclusion in 1018?</w:t>
      </w:r>
    </w:p>
    <w:p w14:paraId="7143746B" w14:textId="77777777" w:rsidR="006A26D7" w:rsidRDefault="006A26D7">
      <w:pPr>
        <w:jc w:val="both"/>
        <w:rPr>
          <w:rFonts w:ascii="Tw Cen MT" w:hAnsi="Tw Cen MT"/>
          <w:sz w:val="24"/>
          <w:szCs w:val="24"/>
        </w:rPr>
      </w:pPr>
    </w:p>
    <w:p w14:paraId="7143746C" w14:textId="77777777" w:rsidR="006A26D7" w:rsidRDefault="00FB0754">
      <w:pPr>
        <w:jc w:val="both"/>
      </w:pPr>
      <w:r>
        <w:rPr>
          <w:noProof/>
        </w:rPr>
        <w:drawing>
          <wp:inline distT="0" distB="0" distL="0" distR="0" wp14:anchorId="714374A9" wp14:editId="714374AA">
            <wp:extent cx="5759997" cy="4258305"/>
            <wp:effectExtent l="0" t="0" r="0" b="8895"/>
            <wp:docPr id="1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9997" cy="425830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7143746D" w14:textId="77777777" w:rsidR="006A26D7" w:rsidRDefault="006A26D7">
      <w:pPr>
        <w:jc w:val="both"/>
      </w:pPr>
    </w:p>
    <w:p w14:paraId="7143746E" w14:textId="77777777" w:rsidR="006A26D7" w:rsidRDefault="00FB0754">
      <w:pPr>
        <w:jc w:val="both"/>
      </w:pPr>
      <w:r>
        <w:rPr>
          <w:noProof/>
        </w:rPr>
        <w:drawing>
          <wp:inline distT="0" distB="0" distL="0" distR="0" wp14:anchorId="714374AB" wp14:editId="714374AC">
            <wp:extent cx="5759997" cy="1273027"/>
            <wp:effectExtent l="0" t="0" r="0" b="3323"/>
            <wp:docPr id="2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9997" cy="127302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7143746F" w14:textId="77777777" w:rsidR="006A26D7" w:rsidRDefault="006A26D7">
      <w:pPr>
        <w:jc w:val="both"/>
      </w:pPr>
    </w:p>
    <w:p w14:paraId="71437470" w14:textId="77777777" w:rsidR="006A26D7" w:rsidRDefault="00FB0754">
      <w:pPr>
        <w:jc w:val="both"/>
      </w:pPr>
      <w:r>
        <w:rPr>
          <w:noProof/>
        </w:rPr>
        <w:lastRenderedPageBreak/>
        <w:drawing>
          <wp:inline distT="0" distB="0" distL="0" distR="0" wp14:anchorId="714374AD" wp14:editId="714374AE">
            <wp:extent cx="5759997" cy="3403031"/>
            <wp:effectExtent l="0" t="0" r="0" b="6919"/>
            <wp:docPr id="3" name="Picture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9997" cy="340303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71437471" w14:textId="77777777" w:rsidR="006A26D7" w:rsidRDefault="006A26D7">
      <w:pPr>
        <w:jc w:val="both"/>
        <w:rPr>
          <w:rFonts w:ascii="Tw Cen MT" w:hAnsi="Tw Cen MT"/>
          <w:sz w:val="24"/>
          <w:szCs w:val="24"/>
        </w:rPr>
      </w:pPr>
    </w:p>
    <w:p w14:paraId="71437472" w14:textId="77777777" w:rsidR="006A26D7" w:rsidRDefault="00FB0754">
      <w:pPr>
        <w:jc w:val="both"/>
        <w:rPr>
          <w:rFonts w:ascii="Tw Cen MT" w:hAnsi="Tw Cen MT"/>
          <w:sz w:val="24"/>
          <w:szCs w:val="24"/>
        </w:rPr>
      </w:pPr>
      <w:r>
        <w:rPr>
          <w:rFonts w:ascii="Tw Cen MT" w:hAnsi="Tw Cen MT"/>
          <w:sz w:val="24"/>
          <w:szCs w:val="24"/>
        </w:rPr>
        <w:t>Investigate splitting Formal and Structured Risk Management System into SIRA and AIRA:</w:t>
      </w:r>
    </w:p>
    <w:p w14:paraId="71437473" w14:textId="77777777" w:rsidR="006A26D7" w:rsidRDefault="006A26D7">
      <w:pPr>
        <w:jc w:val="both"/>
        <w:rPr>
          <w:rFonts w:ascii="Tw Cen MT" w:hAnsi="Tw Cen MT"/>
          <w:sz w:val="24"/>
          <w:szCs w:val="24"/>
        </w:rPr>
      </w:pPr>
    </w:p>
    <w:p w14:paraId="71437474" w14:textId="77777777" w:rsidR="006A26D7" w:rsidRDefault="00FB0754">
      <w:pPr>
        <w:pStyle w:val="ListParagraph"/>
        <w:numPr>
          <w:ilvl w:val="0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 xml:space="preserve">Simplified IALA Risk Assessment Method - SIRA - Basic risk assessment for localised simple areas of navigation where expertise and data </w:t>
      </w:r>
      <w:proofErr w:type="spellStart"/>
      <w:r>
        <w:rPr>
          <w:rFonts w:ascii="Tw Cen MT" w:hAnsi="Tw Cen MT"/>
        </w:rPr>
        <w:t>maybe</w:t>
      </w:r>
      <w:proofErr w:type="spellEnd"/>
      <w:r>
        <w:rPr>
          <w:rFonts w:ascii="Tw Cen MT" w:hAnsi="Tw Cen MT"/>
        </w:rPr>
        <w:t xml:space="preserve"> minimal. Includes the following:</w:t>
      </w:r>
    </w:p>
    <w:p w14:paraId="71437475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Simple overview of area</w:t>
      </w:r>
    </w:p>
    <w:p w14:paraId="71437476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Single consequence assessment</w:t>
      </w:r>
    </w:p>
    <w:p w14:paraId="71437477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None probability based assessment (Categorial only)</w:t>
      </w:r>
    </w:p>
    <w:p w14:paraId="71437478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Pre and Post risk control measures</w:t>
      </w:r>
    </w:p>
    <w:p w14:paraId="71437479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Reduce Zonal Description?</w:t>
      </w:r>
    </w:p>
    <w:p w14:paraId="7143747A" w14:textId="77777777" w:rsidR="006A26D7" w:rsidRDefault="006A26D7">
      <w:pPr>
        <w:jc w:val="both"/>
        <w:rPr>
          <w:rFonts w:ascii="Tw Cen MT" w:hAnsi="Tw Cen MT"/>
        </w:rPr>
      </w:pPr>
    </w:p>
    <w:p w14:paraId="7143747B" w14:textId="77777777" w:rsidR="006A26D7" w:rsidRDefault="00FB0754">
      <w:pPr>
        <w:pStyle w:val="ListParagraph"/>
        <w:numPr>
          <w:ilvl w:val="0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Advanced IALA Risk Assessment Method – AIRA – Advanced risk assessment for multiple areas including complex navigation, which can be supported and enhanced by other IALA Risk Management Tool box methods.  Includes the following</w:t>
      </w:r>
    </w:p>
    <w:p w14:paraId="7143747C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Multiple Consequence assessments</w:t>
      </w:r>
    </w:p>
    <w:p w14:paraId="7143747D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Option to input “most likely” and “worst credible” assessments</w:t>
      </w:r>
    </w:p>
    <w:p w14:paraId="7143747E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Introduction of Most likely / Worst Credible</w:t>
      </w:r>
    </w:p>
    <w:p w14:paraId="7143747F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Introduction of risk control effectiveness calculations (assess individual risk control effectiveness and cumulative reduction in risk)</w:t>
      </w:r>
    </w:p>
    <w:p w14:paraId="71437480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Ability to feed in</w:t>
      </w:r>
    </w:p>
    <w:p w14:paraId="71437481" w14:textId="77777777" w:rsidR="006A26D7" w:rsidRDefault="00FB0754">
      <w:pPr>
        <w:pStyle w:val="ListParagraph"/>
        <w:numPr>
          <w:ilvl w:val="2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IWRAP results of probabilities</w:t>
      </w:r>
    </w:p>
    <w:p w14:paraId="71437482" w14:textId="77777777" w:rsidR="006A26D7" w:rsidRDefault="00FB0754">
      <w:pPr>
        <w:pStyle w:val="ListParagraph"/>
        <w:numPr>
          <w:ilvl w:val="2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PAWSA results for probabilities / consequences</w:t>
      </w:r>
    </w:p>
    <w:p w14:paraId="71437483" w14:textId="77777777" w:rsidR="006A26D7" w:rsidRDefault="00FB0754">
      <w:pPr>
        <w:pStyle w:val="ListParagraph"/>
        <w:numPr>
          <w:ilvl w:val="2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Simulation</w:t>
      </w:r>
    </w:p>
    <w:p w14:paraId="71437484" w14:textId="77777777" w:rsidR="006A26D7" w:rsidRDefault="006A26D7">
      <w:pPr>
        <w:jc w:val="both"/>
        <w:rPr>
          <w:rFonts w:ascii="Tw Cen MT" w:hAnsi="Tw Cen MT"/>
        </w:rPr>
      </w:pPr>
    </w:p>
    <w:p w14:paraId="71437485" w14:textId="77777777" w:rsidR="006A26D7" w:rsidRDefault="00FB0754">
      <w:pPr>
        <w:jc w:val="both"/>
        <w:rPr>
          <w:rFonts w:ascii="Tw Cen MT" w:hAnsi="Tw Cen MT"/>
          <w:sz w:val="24"/>
          <w:szCs w:val="24"/>
        </w:rPr>
      </w:pPr>
      <w:r>
        <w:rPr>
          <w:rFonts w:ascii="Tw Cen MT" w:hAnsi="Tw Cen MT"/>
          <w:sz w:val="24"/>
          <w:szCs w:val="24"/>
        </w:rPr>
        <w:t>Focus on below is with regards to SIRA and not AIRA</w:t>
      </w:r>
    </w:p>
    <w:p w14:paraId="71437486" w14:textId="77777777" w:rsidR="006A26D7" w:rsidRDefault="006A26D7">
      <w:pPr>
        <w:jc w:val="both"/>
        <w:rPr>
          <w:rFonts w:ascii="Tw Cen MT" w:hAnsi="Tw Cen MT"/>
          <w:sz w:val="24"/>
          <w:szCs w:val="24"/>
        </w:rPr>
      </w:pPr>
    </w:p>
    <w:p w14:paraId="71437487" w14:textId="77777777" w:rsidR="006A26D7" w:rsidRDefault="00FB0754">
      <w:pPr>
        <w:pStyle w:val="Heading2"/>
      </w:pPr>
      <w:r>
        <w:t>Is the structure and annexes ok ?</w:t>
      </w:r>
    </w:p>
    <w:p w14:paraId="71437488" w14:textId="77777777" w:rsidR="006A26D7" w:rsidRDefault="00FB0754">
      <w:r>
        <w:t>Annex could do with a Step by Step process based on excel worksheet.</w:t>
      </w:r>
    </w:p>
    <w:p w14:paraId="71437489" w14:textId="77777777" w:rsidR="006A26D7" w:rsidRDefault="006A26D7"/>
    <w:p w14:paraId="7143748A" w14:textId="77777777" w:rsidR="006A26D7" w:rsidRDefault="00FB0754">
      <w:pPr>
        <w:pStyle w:val="Heading2"/>
      </w:pPr>
      <w:r>
        <w:t>Rewrite the “Introduction”</w:t>
      </w:r>
    </w:p>
    <w:p w14:paraId="7143748B" w14:textId="77777777" w:rsidR="006A26D7" w:rsidRDefault="00FB0754">
      <w:r>
        <w:t>Introduction is largely ok.</w:t>
      </w:r>
    </w:p>
    <w:p w14:paraId="7143748C" w14:textId="77777777" w:rsidR="006A26D7" w:rsidRDefault="006A26D7"/>
    <w:p w14:paraId="7143748D" w14:textId="77777777" w:rsidR="006A26D7" w:rsidRDefault="00FB0754">
      <w:pPr>
        <w:pStyle w:val="Heading2"/>
      </w:pPr>
      <w:r>
        <w:lastRenderedPageBreak/>
        <w:t>Do we need “Background”</w:t>
      </w:r>
    </w:p>
    <w:p w14:paraId="7143748E" w14:textId="77777777" w:rsidR="006A26D7" w:rsidRDefault="00FB0754">
      <w:r>
        <w:t>Move onto introduction</w:t>
      </w:r>
    </w:p>
    <w:p w14:paraId="7143748F" w14:textId="77777777" w:rsidR="006A26D7" w:rsidRDefault="006A26D7"/>
    <w:p w14:paraId="71437490" w14:textId="77777777" w:rsidR="006A26D7" w:rsidRDefault="00FB0754">
      <w:pPr>
        <w:pStyle w:val="Heading2"/>
      </w:pPr>
      <w:r>
        <w:t>“Probability (or likelihood) etc.” must be aligned with G1018</w:t>
      </w:r>
    </w:p>
    <w:p w14:paraId="71437491" w14:textId="77777777" w:rsidR="006A26D7" w:rsidRDefault="00FB0754">
      <w:r>
        <w:t>G1018 does not have definitive likelihood levels.  The guidelines show 3 x risk matrix with 3 levels of “impact” and “likelihood” as an illustration.  As SIRA suggests a 5 x 5 risk matrix, then consideration should be made to remove the 3 x 3 matrix shown in the guidelines G1018.</w:t>
      </w:r>
    </w:p>
    <w:p w14:paraId="71437492" w14:textId="77777777" w:rsidR="006A26D7" w:rsidRDefault="006A26D7"/>
    <w:p w14:paraId="71437493" w14:textId="77777777" w:rsidR="006A26D7" w:rsidRDefault="00FB0754">
      <w:pPr>
        <w:pStyle w:val="Heading2"/>
      </w:pPr>
      <w:r>
        <w:t>The SIRA risk assessment process steps must be aligned with G1018</w:t>
      </w:r>
    </w:p>
    <w:p w14:paraId="71437494" w14:textId="77777777" w:rsidR="006A26D7" w:rsidRDefault="00FB0754">
      <w:r>
        <w:t xml:space="preserve">Overall guidelines of SIRA must be incorporated into G1018 – along with other IALA Risk Tools (see figure above), but details on the procedure of conducting a SIRA should remain in </w:t>
      </w:r>
      <w:r>
        <w:tab/>
        <w:t>.  Currently the steps are broadly aligned to G1018, however they are no aligned to IMO FSA – consider realigning G1018 steps to IMO FSA steps.</w:t>
      </w:r>
    </w:p>
    <w:p w14:paraId="71437495" w14:textId="77777777" w:rsidR="006A26D7" w:rsidRDefault="006A26D7"/>
    <w:p w14:paraId="71437496" w14:textId="77777777" w:rsidR="006A26D7" w:rsidRDefault="00FB0754">
      <w:pPr>
        <w:pStyle w:val="Heading2"/>
      </w:pPr>
      <w:r>
        <w:t>The text from the AMSA document must be merged into the guideline</w:t>
      </w:r>
    </w:p>
    <w:p w14:paraId="71437497" w14:textId="77777777" w:rsidR="006A26D7" w:rsidRDefault="00FB0754">
      <w:r>
        <w:t>TBA – email Mr Grant from AMSA – document received.</w:t>
      </w:r>
    </w:p>
    <w:p w14:paraId="71437498" w14:textId="77777777" w:rsidR="006A26D7" w:rsidRDefault="006A26D7"/>
    <w:p w14:paraId="71437499" w14:textId="77777777" w:rsidR="006A26D7" w:rsidRDefault="00FB0754">
      <w:r>
        <w:t>Take example report headings from AMSA and integrate into Annex of G1138:  “SIRA Report Template”.</w:t>
      </w:r>
    </w:p>
    <w:p w14:paraId="7143749A" w14:textId="77777777" w:rsidR="006A26D7" w:rsidRDefault="006A26D7"/>
    <w:p w14:paraId="7143749B" w14:textId="77777777" w:rsidR="006A26D7" w:rsidRDefault="00FB0754">
      <w:pPr>
        <w:pStyle w:val="Heading2"/>
      </w:pPr>
      <w:r>
        <w:t>Improve the zone definition and figure</w:t>
      </w:r>
    </w:p>
    <w:p w14:paraId="7143749C" w14:textId="77777777" w:rsidR="006A26D7" w:rsidRDefault="00FB0754">
      <w:r>
        <w:t>This could be taken from G1018 Annex C Figure 5.</w:t>
      </w:r>
    </w:p>
    <w:p w14:paraId="7143749D" w14:textId="77777777" w:rsidR="006A26D7" w:rsidRDefault="006A26D7"/>
    <w:p w14:paraId="7143749E" w14:textId="77777777" w:rsidR="006A26D7" w:rsidRDefault="00FB0754">
      <w:pPr>
        <w:pStyle w:val="Heading2"/>
      </w:pPr>
      <w:r>
        <w:t>Selection of zones: combine and merged for AMSA text</w:t>
      </w:r>
    </w:p>
    <w:p w14:paraId="7143749F" w14:textId="77777777" w:rsidR="006A26D7" w:rsidRDefault="00FB0754">
      <w:r>
        <w:t>As above.</w:t>
      </w:r>
    </w:p>
    <w:p w14:paraId="714374A0" w14:textId="77777777" w:rsidR="006A26D7" w:rsidRDefault="006A26D7"/>
    <w:p w14:paraId="714374A1" w14:textId="77777777" w:rsidR="006A26D7" w:rsidRDefault="00FB0754">
      <w:pPr>
        <w:pStyle w:val="Heading2"/>
      </w:pPr>
      <w:r>
        <w:t>Extend the last matrix with “Existing risk control measures/Additional risk control measures”</w:t>
      </w:r>
    </w:p>
    <w:p w14:paraId="714374A2" w14:textId="77777777" w:rsidR="006A26D7" w:rsidRDefault="00FB0754">
      <w:r>
        <w:t>Naming of Risk Matrix for Hazard Log / Register – nomenclature needs standardising.</w:t>
      </w:r>
    </w:p>
    <w:p w14:paraId="714374A3" w14:textId="77777777" w:rsidR="006A26D7" w:rsidRDefault="006A26D7"/>
    <w:p w14:paraId="714374A4" w14:textId="77777777" w:rsidR="006A26D7" w:rsidRDefault="00FB0754">
      <w:pPr>
        <w:pStyle w:val="Heading2"/>
      </w:pPr>
      <w:r>
        <w:t>New annex about “Reporting”, based on the template in the AMSA Document.</w:t>
      </w:r>
    </w:p>
    <w:p w14:paraId="714374A5" w14:textId="77777777" w:rsidR="006A26D7" w:rsidRDefault="00FB0754">
      <w:r>
        <w:t>See above.</w:t>
      </w:r>
    </w:p>
    <w:p w14:paraId="714374A6" w14:textId="77777777" w:rsidR="006A26D7" w:rsidRDefault="006A26D7"/>
    <w:p w14:paraId="714374A7" w14:textId="77777777" w:rsidR="006A26D7" w:rsidRDefault="00FB0754">
      <w:r>
        <w:t>Integration of vessel traffic analysis - through GIS reference to latest examples and R0138 (O-138).</w:t>
      </w:r>
    </w:p>
    <w:p w14:paraId="714374A8" w14:textId="77777777" w:rsidR="006A26D7" w:rsidRDefault="006A26D7">
      <w:pPr>
        <w:pStyle w:val="Heading2"/>
      </w:pPr>
    </w:p>
    <w:sectPr w:rsidR="006A26D7">
      <w:headerReference w:type="default" r:id="rId13"/>
      <w:pgSz w:w="11906" w:h="16838"/>
      <w:pgMar w:top="1440" w:right="1440" w:bottom="1440" w:left="144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14374B1" w14:textId="77777777" w:rsidR="00FB0754" w:rsidRDefault="00FB0754">
      <w:pPr>
        <w:spacing w:line="240" w:lineRule="auto"/>
      </w:pPr>
      <w:r>
        <w:separator/>
      </w:r>
    </w:p>
  </w:endnote>
  <w:endnote w:type="continuationSeparator" w:id="0">
    <w:p w14:paraId="714374B2" w14:textId="77777777" w:rsidR="00FB0754" w:rsidRDefault="00FB075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w Cen MT">
    <w:charset w:val="00"/>
    <w:family w:val="swiss"/>
    <w:pitch w:val="variable"/>
    <w:sig w:usb0="00000003" w:usb1="00000000" w:usb2="00000000" w:usb3="00000000" w:csb0="0000000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4374AF" w14:textId="77777777" w:rsidR="00FB0754" w:rsidRDefault="00FB0754">
      <w:pPr>
        <w:spacing w:line="240" w:lineRule="auto"/>
      </w:pPr>
      <w:r>
        <w:rPr>
          <w:color w:val="000000"/>
        </w:rPr>
        <w:separator/>
      </w:r>
    </w:p>
  </w:footnote>
  <w:footnote w:type="continuationSeparator" w:id="0">
    <w:p w14:paraId="714374B0" w14:textId="77777777" w:rsidR="00FB0754" w:rsidRDefault="00FB075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50F41E" w14:textId="2B0B2181" w:rsidR="008B505D" w:rsidRDefault="008B505D" w:rsidP="008B505D">
    <w:pPr>
      <w:pStyle w:val="Header"/>
      <w:jc w:val="right"/>
    </w:pPr>
    <w:r>
      <w:t>ARM</w:t>
    </w:r>
    <w:r w:rsidR="00DC0AF4">
      <w:t>11-10.6</w:t>
    </w:r>
  </w:p>
  <w:p w14:paraId="65111094" w14:textId="0DA4E0F3" w:rsidR="00DC0AF4" w:rsidRDefault="00DC0AF4" w:rsidP="008B505D">
    <w:pPr>
      <w:pStyle w:val="Header"/>
      <w:jc w:val="right"/>
    </w:pPr>
    <w:r>
      <w:t>(ARM10-13.4.6)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ADC4627"/>
    <w:multiLevelType w:val="multilevel"/>
    <w:tmpl w:val="083C565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26D7"/>
    <w:rsid w:val="0063269A"/>
    <w:rsid w:val="006A26D7"/>
    <w:rsid w:val="008B505D"/>
    <w:rsid w:val="00DC0AF4"/>
    <w:rsid w:val="00FB0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437465"/>
  <w15:docId w15:val="{E13260DC-0BAD-41E9-BA4C-2D0B53A119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en-GB" w:eastAsia="en-US" w:bidi="ar-SA"/>
      </w:rPr>
    </w:rPrDefault>
    <w:pPrDefault>
      <w:pPr>
        <w:autoSpaceDN w:val="0"/>
        <w:spacing w:after="160" w:line="254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 w:line="216" w:lineRule="atLeast"/>
    </w:pPr>
    <w:rPr>
      <w:sz w:val="18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/>
      <w:outlineLvl w:val="0"/>
    </w:pPr>
    <w:rPr>
      <w:rFonts w:ascii="Calibri Light" w:eastAsia="Times New Roman" w:hAnsi="Calibri Light"/>
      <w:color w:val="2F5496"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40"/>
      <w:outlineLvl w:val="1"/>
    </w:pPr>
    <w:rPr>
      <w:rFonts w:ascii="Calibri Light" w:eastAsia="Times New Roman" w:hAnsi="Calibri Light"/>
      <w:color w:val="2F5496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pPr>
      <w:spacing w:line="240" w:lineRule="auto"/>
      <w:ind w:left="720"/>
    </w:pPr>
    <w:rPr>
      <w:rFonts w:ascii="Times New Roman" w:eastAsia="Times New Roman" w:hAnsi="Times New Roman"/>
      <w:sz w:val="24"/>
      <w:szCs w:val="24"/>
      <w:lang w:eastAsia="en-GB"/>
    </w:rPr>
  </w:style>
  <w:style w:type="character" w:customStyle="1" w:styleId="Heading1Char">
    <w:name w:val="Heading 1 Char"/>
    <w:basedOn w:val="DefaultParagraphFont"/>
    <w:rPr>
      <w:rFonts w:ascii="Calibri Light" w:eastAsia="Times New Roman" w:hAnsi="Calibri Light" w:cs="Times New Roman"/>
      <w:color w:val="2F5496"/>
      <w:sz w:val="32"/>
      <w:szCs w:val="32"/>
    </w:rPr>
  </w:style>
  <w:style w:type="character" w:customStyle="1" w:styleId="Heading2Char">
    <w:name w:val="Heading 2 Char"/>
    <w:basedOn w:val="DefaultParagraphFont"/>
    <w:rPr>
      <w:rFonts w:ascii="Calibri Light" w:eastAsia="Times New Roman" w:hAnsi="Calibri Light" w:cs="Times New Roman"/>
      <w:color w:val="2F5496"/>
      <w:sz w:val="26"/>
      <w:szCs w:val="26"/>
    </w:rPr>
  </w:style>
  <w:style w:type="paragraph" w:styleId="BalloonText">
    <w:name w:val="Balloon Text"/>
    <w:basedOn w:val="Normal"/>
    <w:pPr>
      <w:spacing w:line="240" w:lineRule="auto"/>
    </w:pPr>
    <w:rPr>
      <w:rFonts w:ascii="Segoe UI" w:hAnsi="Segoe UI" w:cs="Segoe UI"/>
      <w:szCs w:val="18"/>
    </w:rPr>
  </w:style>
  <w:style w:type="character" w:customStyle="1" w:styleId="BalloonTextChar">
    <w:name w:val="Balloon Text Char"/>
    <w:basedOn w:val="DefaultParagraphFont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8B505D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505D"/>
    <w:rPr>
      <w:sz w:val="18"/>
    </w:rPr>
  </w:style>
  <w:style w:type="paragraph" w:styleId="Footer">
    <w:name w:val="footer"/>
    <w:basedOn w:val="Normal"/>
    <w:link w:val="FooterChar"/>
    <w:uiPriority w:val="99"/>
    <w:unhideWhenUsed/>
    <w:rsid w:val="008B505D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505D"/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D819D4C-F475-4FE2-AFCB-DF956E03A1A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FA2E4DD-190D-407B-8249-CED813B7821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ECE80DA-B0FD-4E63-8146-1E421E34F3F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458</Words>
  <Characters>2617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Edward Rogers</dc:creator>
  <dc:description/>
  <cp:lastModifiedBy>Tom Southall</cp:lastModifiedBy>
  <cp:revision>4</cp:revision>
  <dcterms:created xsi:type="dcterms:W3CDTF">2019-10-17T10:41:00Z</dcterms:created>
  <dcterms:modified xsi:type="dcterms:W3CDTF">2020-02-14T11:43:00Z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17716900</vt:r8>
  </property>
</Properties>
</file>